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uk-UA"/>
        </w:rPr>
      </w:pP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Клас наслідків: </w:t>
      </w:r>
      <w:r w:rsidRPr="005B6789">
        <w:rPr>
          <w:rFonts w:ascii="Arial" w:eastAsia="Times New Roman" w:hAnsi="Arial" w:cs="Arial"/>
          <w:b/>
          <w:bCs/>
          <w:color w:val="282828"/>
          <w:sz w:val="27"/>
          <w:szCs w:val="27"/>
          <w:lang w:eastAsia="uk-UA"/>
        </w:rPr>
        <w:t>СС2</w:t>
      </w:r>
    </w:p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uk-UA"/>
        </w:rPr>
      </w:pP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Обмеження по висоті: до</w:t>
      </w:r>
      <w:r w:rsidRPr="005B6789">
        <w:rPr>
          <w:rFonts w:ascii="Arial" w:eastAsia="Times New Roman" w:hAnsi="Arial" w:cs="Arial"/>
          <w:b/>
          <w:bCs/>
          <w:color w:val="282828"/>
          <w:sz w:val="27"/>
          <w:szCs w:val="27"/>
          <w:lang w:eastAsia="uk-UA"/>
        </w:rPr>
        <w:t> 100</w:t>
      </w: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 м</w:t>
      </w:r>
    </w:p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uk-UA"/>
        </w:rPr>
      </w:pP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Можуть постійно проживати: </w:t>
      </w:r>
      <w:r w:rsidRPr="005B6789">
        <w:rPr>
          <w:rFonts w:ascii="Arial" w:eastAsia="Times New Roman" w:hAnsi="Arial" w:cs="Arial"/>
          <w:b/>
          <w:bCs/>
          <w:color w:val="282828"/>
          <w:sz w:val="27"/>
          <w:szCs w:val="27"/>
          <w:lang w:eastAsia="uk-UA"/>
        </w:rPr>
        <w:t>50 - 400</w:t>
      </w: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 осіб</w:t>
      </w:r>
    </w:p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uk-UA"/>
        </w:rPr>
      </w:pP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Можуть тимчасово знаходитись: </w:t>
      </w:r>
      <w:r w:rsidRPr="005B6789">
        <w:rPr>
          <w:rFonts w:ascii="Arial" w:eastAsia="Times New Roman" w:hAnsi="Arial" w:cs="Arial"/>
          <w:b/>
          <w:bCs/>
          <w:color w:val="282828"/>
          <w:sz w:val="27"/>
          <w:szCs w:val="27"/>
          <w:lang w:eastAsia="uk-UA"/>
        </w:rPr>
        <w:t>100 - 1000</w:t>
      </w: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 осіб</w:t>
      </w:r>
    </w:p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uk-UA"/>
        </w:rPr>
      </w:pP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При порушенні цілісності конструкції становить небезпеку для: </w:t>
      </w:r>
      <w:r w:rsidRPr="005B6789">
        <w:rPr>
          <w:rFonts w:ascii="Arial" w:eastAsia="Times New Roman" w:hAnsi="Arial" w:cs="Arial"/>
          <w:b/>
          <w:bCs/>
          <w:color w:val="282828"/>
          <w:sz w:val="27"/>
          <w:szCs w:val="27"/>
          <w:lang w:eastAsia="uk-UA"/>
        </w:rPr>
        <w:t>100 - 50 000</w:t>
      </w:r>
      <w:r w:rsidRPr="005B6789">
        <w:rPr>
          <w:rFonts w:ascii="Arial" w:eastAsia="Times New Roman" w:hAnsi="Arial" w:cs="Arial"/>
          <w:color w:val="282828"/>
          <w:sz w:val="27"/>
          <w:szCs w:val="27"/>
          <w:lang w:eastAsia="uk-UA"/>
        </w:rPr>
        <w:t> осіб</w:t>
      </w:r>
    </w:p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uk-UA"/>
        </w:rPr>
      </w:pPr>
    </w:p>
    <w:p w:rsidR="005B6789" w:rsidRPr="005B6789" w:rsidRDefault="005B6789" w:rsidP="005B6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  <w:r w:rsidRPr="005B6789">
        <w:rPr>
          <w:rFonts w:ascii="Arial" w:eastAsia="Times New Roman" w:hAnsi="Arial" w:cs="Arial"/>
          <w:sz w:val="27"/>
          <w:szCs w:val="27"/>
          <w:lang w:eastAsia="uk-UA"/>
        </w:rPr>
        <w:t>*Закон України про регулювання містобудівної діяльності. Стаття 32</w:t>
      </w:r>
    </w:p>
    <w:p w:rsidR="00E40F54" w:rsidRDefault="005B6789">
      <w:bookmarkStart w:id="0" w:name="_GoBack"/>
      <w:bookmarkEnd w:id="0"/>
    </w:p>
    <w:sectPr w:rsidR="00E40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2"/>
    <w:rsid w:val="005B6789"/>
    <w:rsid w:val="00863944"/>
    <w:rsid w:val="00EC0BC2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">
    <w:name w:val="h4"/>
    <w:basedOn w:val="a0"/>
    <w:rsid w:val="005B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">
    <w:name w:val="h4"/>
    <w:basedOn w:val="a0"/>
    <w:rsid w:val="005B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</dc:creator>
  <cp:keywords/>
  <dc:description/>
  <cp:lastModifiedBy>Denys</cp:lastModifiedBy>
  <cp:revision>3</cp:revision>
  <dcterms:created xsi:type="dcterms:W3CDTF">2019-12-23T13:20:00Z</dcterms:created>
  <dcterms:modified xsi:type="dcterms:W3CDTF">2019-12-23T13:21:00Z</dcterms:modified>
</cp:coreProperties>
</file>